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5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44997" cy="98278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97" cy="98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2"/>
        <w:tabs>
          <w:tab w:pos="5827" w:val="left" w:leader="none"/>
        </w:tabs>
        <w:ind w:right="103"/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UPPER</w:t>
      </w:r>
      <w:r>
        <w:rPr>
          <w:spacing w:val="-2"/>
        </w:rPr>
        <w:t> </w:t>
      </w:r>
      <w:r>
        <w:rPr/>
        <w:t>TRIBUNAL</w:t>
        <w:tab/>
        <w:t>UT Ref: UA-2021-SCO-000005-DLA</w:t>
      </w:r>
      <w:r>
        <w:rPr>
          <w:spacing w:val="-63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APPEALS CHAMBER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18"/>
      </w:pPr>
      <w:r>
        <w:rPr/>
        <w:t>On</w:t>
      </w:r>
      <w:r>
        <w:rPr>
          <w:spacing w:val="-4"/>
        </w:rPr>
        <w:t> </w:t>
      </w:r>
      <w:r>
        <w:rPr/>
        <w:t>appeal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First-tier</w:t>
      </w:r>
      <w:r>
        <w:rPr>
          <w:spacing w:val="-4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(Social</w:t>
      </w:r>
      <w:r>
        <w:rPr>
          <w:spacing w:val="-3"/>
        </w:rPr>
        <w:t> </w:t>
      </w:r>
      <w:r>
        <w:rPr/>
        <w:t>Entitlement</w:t>
      </w:r>
      <w:r>
        <w:rPr>
          <w:spacing w:val="-3"/>
        </w:rPr>
        <w:t> </w:t>
      </w:r>
      <w:r>
        <w:rPr/>
        <w:t>Chamber)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970" w:header="0" w:top="720" w:bottom="1160" w:left="1300" w:right="740"/>
          <w:pgNumType w:start="1"/>
        </w:sectPr>
      </w:pPr>
    </w:p>
    <w:p>
      <w:pPr>
        <w:pStyle w:val="Heading2"/>
        <w:spacing w:before="92"/>
      </w:pPr>
      <w:r>
        <w:rPr/>
        <w:t>Between:</w:t>
      </w:r>
    </w:p>
    <w:p>
      <w:pPr>
        <w:spacing w:line="240" w:lineRule="auto" w:before="0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2"/>
        <w:ind w:left="784" w:right="707"/>
        <w:jc w:val="center"/>
      </w:pPr>
      <w:r>
        <w:rPr/>
        <w:t>CS</w:t>
      </w:r>
      <w:r>
        <w:rPr>
          <w:spacing w:val="-3"/>
        </w:rPr>
        <w:t> </w:t>
      </w:r>
      <w:r>
        <w:rPr/>
        <w:t>(by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appointee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mother)</w:t>
      </w:r>
    </w:p>
    <w:p>
      <w:pPr>
        <w:pStyle w:val="BodyText"/>
        <w:rPr>
          <w:b/>
        </w:rPr>
      </w:pPr>
    </w:p>
    <w:p>
      <w:pPr>
        <w:pStyle w:val="BodyText"/>
        <w:ind w:left="784" w:right="707"/>
        <w:jc w:val="center"/>
      </w:pPr>
      <w:r>
        <w:rPr/>
        <w:t>-</w:t>
      </w:r>
      <w:r>
        <w:rPr>
          <w:spacing w:val="-1"/>
        </w:rPr>
        <w:t> </w:t>
      </w:r>
      <w:r>
        <w:rPr/>
        <w:t>v –</w:t>
      </w:r>
    </w:p>
    <w:p>
      <w:pPr>
        <w:pStyle w:val="BodyText"/>
      </w:pPr>
    </w:p>
    <w:p>
      <w:pPr>
        <w:pStyle w:val="Heading2"/>
        <w:ind w:left="105" w:right="27"/>
        <w:jc w:val="center"/>
      </w:pPr>
      <w:r>
        <w:rPr/>
        <w:t>The</w:t>
      </w:r>
      <w:r>
        <w:rPr>
          <w:spacing w:val="-2"/>
        </w:rPr>
        <w:t> </w:t>
      </w:r>
      <w:r>
        <w:rPr/>
        <w:t>Secretary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Pensions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30"/>
        </w:rPr>
      </w:pPr>
    </w:p>
    <w:p>
      <w:pPr>
        <w:pStyle w:val="BodyText"/>
        <w:ind w:right="676"/>
        <w:jc w:val="right"/>
      </w:pPr>
      <w:r>
        <w:rPr/>
        <w:t>Appellant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right="676"/>
        <w:jc w:val="right"/>
      </w:pPr>
      <w:r>
        <w:rPr/>
        <w:t>Respondent</w:t>
      </w:r>
    </w:p>
    <w:p>
      <w:pPr>
        <w:spacing w:after="0"/>
        <w:jc w:val="right"/>
        <w:sectPr>
          <w:type w:val="continuous"/>
          <w:pgSz w:w="11910" w:h="16840"/>
          <w:pgMar w:header="0" w:footer="970" w:top="720" w:bottom="1160" w:left="1300" w:right="740"/>
          <w:cols w:num="3" w:equalWidth="0">
            <w:col w:w="1225" w:space="703"/>
            <w:col w:w="5373" w:space="475"/>
            <w:col w:w="2094"/>
          </w:cols>
        </w:sectPr>
      </w:pPr>
    </w:p>
    <w:p>
      <w:pPr>
        <w:pStyle w:val="BodyText"/>
        <w:rPr>
          <w:sz w:val="16"/>
        </w:rPr>
      </w:pPr>
    </w:p>
    <w:p>
      <w:pPr>
        <w:tabs>
          <w:tab w:pos="2278" w:val="left" w:leader="none"/>
        </w:tabs>
        <w:spacing w:line="480" w:lineRule="auto" w:before="92"/>
        <w:ind w:left="118" w:right="5533" w:firstLine="0"/>
        <w:jc w:val="left"/>
        <w:rPr>
          <w:sz w:val="24"/>
        </w:rPr>
      </w:pPr>
      <w:r>
        <w:rPr>
          <w:b/>
          <w:sz w:val="24"/>
        </w:rPr>
        <w:t>Before: Upper Tribunal Judge Wright</w:t>
      </w:r>
      <w:r>
        <w:rPr>
          <w:b/>
          <w:spacing w:val="-64"/>
          <w:sz w:val="24"/>
        </w:rPr>
        <w:t> </w:t>
      </w: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date:</w:t>
        <w:tab/>
        <w:t>3 November 2022</w:t>
      </w:r>
      <w:r>
        <w:rPr>
          <w:spacing w:val="1"/>
          <w:sz w:val="24"/>
        </w:rPr>
        <w:t> </w:t>
      </w:r>
      <w:r>
        <w:rPr>
          <w:sz w:val="24"/>
        </w:rPr>
        <w:t>Decided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submissions.</w:t>
      </w:r>
    </w:p>
    <w:p>
      <w:pPr>
        <w:pStyle w:val="Heading2"/>
      </w:pPr>
      <w:r>
        <w:rPr/>
        <w:t>Representation:</w:t>
      </w:r>
    </w:p>
    <w:p>
      <w:pPr>
        <w:pStyle w:val="BodyText"/>
        <w:tabs>
          <w:tab w:pos="2277" w:val="left" w:leader="none"/>
          <w:tab w:pos="2912" w:val="left" w:leader="none"/>
          <w:tab w:pos="4107" w:val="left" w:leader="none"/>
          <w:tab w:pos="4755" w:val="left" w:leader="none"/>
          <w:tab w:pos="6258" w:val="left" w:leader="none"/>
          <w:tab w:pos="6732" w:val="left" w:leader="none"/>
          <w:tab w:pos="7460" w:val="left" w:leader="none"/>
          <w:tab w:pos="8334" w:val="left" w:leader="none"/>
        </w:tabs>
        <w:ind w:left="2278" w:right="676" w:hanging="2160"/>
      </w:pPr>
      <w:r>
        <w:rPr/>
        <w:t>Appellant:</w:t>
        <w:tab/>
        <w:t>The</w:t>
        <w:tab/>
        <w:t>appellant</w:t>
        <w:tab/>
        <w:t>was</w:t>
        <w:tab/>
        <w:t>represented</w:t>
        <w:tab/>
        <w:t>by</w:t>
        <w:tab/>
        <w:t>Mike</w:t>
        <w:tab/>
        <w:t>Dailly,</w:t>
        <w:tab/>
      </w:r>
      <w:r>
        <w:rPr>
          <w:spacing w:val="-1"/>
        </w:rPr>
        <w:t>Solicitor</w:t>
      </w:r>
      <w:r>
        <w:rPr>
          <w:spacing w:val="-64"/>
        </w:rPr>
        <w:t> </w:t>
      </w:r>
      <w:r>
        <w:rPr/>
        <w:t>Advocate,</w:t>
      </w:r>
      <w:r>
        <w:rPr>
          <w:spacing w:val="-1"/>
        </w:rPr>
        <w:t> </w:t>
      </w:r>
      <w:r>
        <w:rPr/>
        <w:t>Govan Law Centre.</w:t>
      </w:r>
    </w:p>
    <w:p>
      <w:pPr>
        <w:pStyle w:val="BodyText"/>
        <w:tabs>
          <w:tab w:pos="2277" w:val="left" w:leader="none"/>
        </w:tabs>
        <w:ind w:left="2278" w:right="676" w:hanging="2160"/>
      </w:pPr>
      <w:r>
        <w:rPr/>
        <w:t>Respondent:</w:t>
        <w:tab/>
        <w:t>The</w:t>
      </w:r>
      <w:r>
        <w:rPr>
          <w:spacing w:val="1"/>
        </w:rPr>
        <w:t> </w:t>
      </w:r>
      <w:r>
        <w:rPr/>
        <w:t>respondent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represented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Julia</w:t>
      </w:r>
      <w:r>
        <w:rPr>
          <w:spacing w:val="1"/>
        </w:rPr>
        <w:t> </w:t>
      </w:r>
      <w:r>
        <w:rPr/>
        <w:t>Smyth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counsel,</w:t>
      </w:r>
      <w:r>
        <w:rPr>
          <w:spacing w:val="-64"/>
        </w:rPr>
        <w:t> </w:t>
      </w:r>
      <w:r>
        <w:rPr/>
        <w:t>instructed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Department.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DECISION</w:t>
      </w:r>
    </w:p>
    <w:p>
      <w:pPr>
        <w:pStyle w:val="BodyText"/>
        <w:rPr>
          <w:b/>
        </w:rPr>
      </w:pPr>
    </w:p>
    <w:p>
      <w:pPr>
        <w:pStyle w:val="BodyText"/>
        <w:ind w:left="118" w:right="675"/>
        <w:jc w:val="both"/>
      </w:pPr>
      <w:r>
        <w:rPr>
          <w:b/>
        </w:rPr>
        <w:t>The decision of the Upper Tribunal is to allow the appeal.</w:t>
      </w:r>
      <w:r>
        <w:rPr>
          <w:b/>
          <w:spacing w:val="1"/>
        </w:rPr>
        <w:t> </w:t>
      </w:r>
      <w:r>
        <w:rPr/>
        <w:t>The decision of the</w:t>
      </w:r>
      <w:r>
        <w:rPr>
          <w:spacing w:val="1"/>
        </w:rPr>
        <w:t> </w:t>
      </w:r>
      <w:r>
        <w:rPr/>
        <w:t>First-tier Tribunal made on 5 May 2021 under case number SC100/20/02272 was</w:t>
      </w:r>
      <w:r>
        <w:rPr>
          <w:spacing w:val="1"/>
        </w:rPr>
        <w:t> </w:t>
      </w:r>
      <w:r>
        <w:rPr/>
        <w:t>made in error of law.</w:t>
      </w:r>
      <w:r>
        <w:rPr>
          <w:spacing w:val="1"/>
        </w:rPr>
        <w:t> </w:t>
      </w:r>
      <w:r>
        <w:rPr/>
        <w:t>Under section 12(2)(a) and (b)(ii) of the Tribunals, Courts and</w:t>
      </w:r>
      <w:r>
        <w:rPr>
          <w:spacing w:val="1"/>
        </w:rPr>
        <w:t> </w:t>
      </w:r>
      <w:r>
        <w:rPr/>
        <w:t>Enforcement</w:t>
      </w:r>
      <w:r>
        <w:rPr>
          <w:spacing w:val="60"/>
        </w:rPr>
        <w:t> </w:t>
      </w:r>
      <w:r>
        <w:rPr/>
        <w:t>Act</w:t>
      </w:r>
      <w:r>
        <w:rPr>
          <w:spacing w:val="60"/>
        </w:rPr>
        <w:t> </w:t>
      </w:r>
      <w:r>
        <w:rPr/>
        <w:t>2007</w:t>
      </w:r>
      <w:r>
        <w:rPr>
          <w:spacing w:val="60"/>
        </w:rPr>
        <w:t> </w:t>
      </w:r>
      <w:r>
        <w:rPr/>
        <w:t>I</w:t>
      </w:r>
      <w:r>
        <w:rPr>
          <w:spacing w:val="60"/>
        </w:rPr>
        <w:t> </w:t>
      </w:r>
      <w:r>
        <w:rPr/>
        <w:t>set</w:t>
      </w:r>
      <w:r>
        <w:rPr>
          <w:spacing w:val="60"/>
        </w:rPr>
        <w:t> </w:t>
      </w:r>
      <w:r>
        <w:rPr/>
        <w:t>that</w:t>
      </w:r>
      <w:r>
        <w:rPr>
          <w:spacing w:val="60"/>
        </w:rPr>
        <w:t> </w:t>
      </w:r>
      <w:r>
        <w:rPr/>
        <w:t>decision</w:t>
      </w:r>
      <w:r>
        <w:rPr>
          <w:spacing w:val="60"/>
        </w:rPr>
        <w:t> </w:t>
      </w:r>
      <w:r>
        <w:rPr/>
        <w:t>aside</w:t>
      </w:r>
      <w:r>
        <w:rPr>
          <w:spacing w:val="60"/>
        </w:rPr>
        <w:t> </w:t>
      </w:r>
      <w:r>
        <w:rPr/>
        <w:t>and,</w:t>
      </w:r>
      <w:r>
        <w:rPr>
          <w:spacing w:val="60"/>
        </w:rPr>
        <w:t> </w:t>
      </w:r>
      <w:r>
        <w:rPr/>
        <w:t>with</w:t>
      </w:r>
      <w:r>
        <w:rPr>
          <w:spacing w:val="60"/>
        </w:rPr>
        <w:t> </w:t>
      </w:r>
      <w:r>
        <w:rPr/>
        <w:t>the</w:t>
      </w:r>
      <w:r>
        <w:rPr>
          <w:spacing w:val="61"/>
        </w:rPr>
        <w:t> </w:t>
      </w:r>
      <w:r>
        <w:rPr/>
        <w:t>agreement</w:t>
      </w:r>
      <w:r>
        <w:rPr>
          <w:spacing w:val="60"/>
        </w:rPr>
        <w:t> </w:t>
      </w:r>
      <w:r>
        <w:rPr/>
        <w:t>of</w:t>
      </w:r>
      <w:r>
        <w:rPr>
          <w:spacing w:val="60"/>
        </w:rPr>
        <w:t> </w:t>
      </w:r>
      <w:r>
        <w:rPr/>
        <w:t>the</w:t>
      </w:r>
      <w:r>
        <w:rPr>
          <w:spacing w:val="-64"/>
        </w:rPr>
        <w:t> </w:t>
      </w:r>
      <w:r>
        <w:rPr/>
        <w:t>parties, redecide the appeal. In redeciding the appeal, I set aside the Secretary of</w:t>
      </w:r>
      <w:r>
        <w:rPr>
          <w:spacing w:val="1"/>
        </w:rPr>
        <w:t> </w:t>
      </w:r>
      <w:r>
        <w:rPr/>
        <w:t>State’s decision of 13 May 2020 and hold that the appellant is entitled to the higher</w:t>
      </w:r>
      <w:r>
        <w:rPr>
          <w:spacing w:val="1"/>
        </w:rPr>
        <w:t> </w:t>
      </w:r>
      <w:r>
        <w:rPr/>
        <w:t>rate of the mobility component of Disability Living Allowance (DLA) and the highest</w:t>
      </w:r>
      <w:r>
        <w:rPr>
          <w:spacing w:val="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care</w:t>
      </w:r>
      <w:r>
        <w:rPr>
          <w:spacing w:val="-1"/>
        </w:rPr>
        <w:t> </w:t>
      </w:r>
      <w:r>
        <w:rPr/>
        <w:t>component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DLA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13</w:t>
      </w:r>
      <w:r>
        <w:rPr>
          <w:spacing w:val="-2"/>
        </w:rPr>
        <w:t> </w:t>
      </w:r>
      <w:r>
        <w:rPr/>
        <w:t>May 2020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May 2022.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REASONS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DECISION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120" w:after="0"/>
        <w:ind w:left="118" w:right="675" w:firstLine="0"/>
        <w:jc w:val="both"/>
        <w:rPr>
          <w:sz w:val="24"/>
        </w:rPr>
      </w:pPr>
      <w:r>
        <w:rPr>
          <w:sz w:val="24"/>
        </w:rPr>
        <w:t>The parties are agreed that I should give the decision in the above terms and I</w:t>
      </w:r>
      <w:r>
        <w:rPr>
          <w:spacing w:val="1"/>
          <w:sz w:val="24"/>
        </w:rPr>
        <w:t> </w:t>
      </w:r>
      <w:r>
        <w:rPr>
          <w:sz w:val="24"/>
        </w:rPr>
        <w:t>am</w:t>
      </w:r>
      <w:r>
        <w:rPr>
          <w:spacing w:val="-2"/>
          <w:sz w:val="24"/>
        </w:rPr>
        <w:t> </w:t>
      </w:r>
      <w:r>
        <w:rPr>
          <w:sz w:val="24"/>
        </w:rPr>
        <w:t>satisfied that I should do so.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120" w:after="0"/>
        <w:ind w:left="118" w:right="675" w:firstLine="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appeal</w:t>
      </w:r>
      <w:r>
        <w:rPr>
          <w:spacing w:val="1"/>
          <w:sz w:val="24"/>
        </w:rPr>
        <w:t> </w:t>
      </w:r>
      <w:r>
        <w:rPr>
          <w:sz w:val="24"/>
        </w:rPr>
        <w:t>concerns</w:t>
      </w:r>
      <w:r>
        <w:rPr>
          <w:spacing w:val="1"/>
          <w:sz w:val="24"/>
        </w:rPr>
        <w:t> </w:t>
      </w:r>
      <w:r>
        <w:rPr>
          <w:sz w:val="24"/>
        </w:rPr>
        <w:t>entitlement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higher</w:t>
      </w:r>
      <w:r>
        <w:rPr>
          <w:spacing w:val="1"/>
          <w:sz w:val="24"/>
        </w:rPr>
        <w:t> </w:t>
      </w:r>
      <w:r>
        <w:rPr>
          <w:sz w:val="24"/>
        </w:rPr>
        <w:t>rate</w:t>
      </w:r>
      <w:r>
        <w:rPr>
          <w:spacing w:val="1"/>
          <w:sz w:val="24"/>
        </w:rPr>
        <w:t> </w:t>
      </w:r>
      <w:r>
        <w:rPr>
          <w:sz w:val="24"/>
        </w:rPr>
        <w:t>mobility</w:t>
      </w:r>
      <w:r>
        <w:rPr>
          <w:spacing w:val="1"/>
          <w:sz w:val="24"/>
        </w:rPr>
        <w:t> </w:t>
      </w:r>
      <w:r>
        <w:rPr>
          <w:sz w:val="24"/>
        </w:rPr>
        <w:t>component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Disability Living Allowance (“DLA”) via the ‘severe mental impairment route under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73(3)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Contributions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Benefits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1992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regulation</w:t>
      </w:r>
      <w:r>
        <w:rPr>
          <w:spacing w:val="1"/>
          <w:sz w:val="24"/>
        </w:rPr>
        <w:t> </w:t>
      </w:r>
      <w:r>
        <w:rPr>
          <w:sz w:val="24"/>
        </w:rPr>
        <w:t>12(5)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(6)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(Disability</w:t>
      </w:r>
      <w:r>
        <w:rPr>
          <w:spacing w:val="1"/>
          <w:sz w:val="24"/>
        </w:rPr>
        <w:t> </w:t>
      </w:r>
      <w:r>
        <w:rPr>
          <w:sz w:val="24"/>
        </w:rPr>
        <w:t>Living</w:t>
      </w:r>
      <w:r>
        <w:rPr>
          <w:spacing w:val="1"/>
          <w:sz w:val="24"/>
        </w:rPr>
        <w:t> </w:t>
      </w:r>
      <w:r>
        <w:rPr>
          <w:sz w:val="24"/>
        </w:rPr>
        <w:t>Allowance)</w:t>
      </w:r>
      <w:r>
        <w:rPr>
          <w:spacing w:val="1"/>
          <w:sz w:val="24"/>
        </w:rPr>
        <w:t> </w:t>
      </w:r>
      <w:r>
        <w:rPr>
          <w:sz w:val="24"/>
        </w:rPr>
        <w:t>Regulations</w:t>
      </w:r>
      <w:r>
        <w:rPr>
          <w:spacing w:val="-2"/>
          <w:sz w:val="24"/>
        </w:rPr>
        <w:t> </w:t>
      </w:r>
      <w:r>
        <w:rPr>
          <w:sz w:val="24"/>
        </w:rPr>
        <w:t>1991</w:t>
      </w:r>
      <w:r>
        <w:rPr>
          <w:spacing w:val="-1"/>
          <w:sz w:val="24"/>
        </w:rPr>
        <w:t> </w:t>
      </w:r>
      <w:r>
        <w:rPr>
          <w:sz w:val="24"/>
        </w:rPr>
        <w:t>(“the</w:t>
      </w:r>
      <w:r>
        <w:rPr>
          <w:spacing w:val="-1"/>
          <w:sz w:val="24"/>
        </w:rPr>
        <w:t> </w:t>
      </w:r>
      <w:r>
        <w:rPr>
          <w:sz w:val="24"/>
        </w:rPr>
        <w:t>DLA</w:t>
      </w:r>
      <w:r>
        <w:rPr>
          <w:spacing w:val="-1"/>
          <w:sz w:val="24"/>
        </w:rPr>
        <w:t> </w:t>
      </w:r>
      <w:r>
        <w:rPr>
          <w:sz w:val="24"/>
        </w:rPr>
        <w:t>Regs”).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header="0" w:footer="970" w:top="720" w:bottom="1160" w:left="1300" w:right="74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93" w:after="0"/>
        <w:ind w:left="118" w:right="675" w:firstLine="0"/>
        <w:jc w:val="both"/>
        <w:rPr>
          <w:sz w:val="24"/>
        </w:rPr>
      </w:pPr>
      <w:r>
        <w:rPr>
          <w:sz w:val="24"/>
        </w:rPr>
        <w:t>I gave permission for this appeal because I considered the ground of appeal</w:t>
      </w:r>
      <w:r>
        <w:rPr>
          <w:spacing w:val="1"/>
          <w:sz w:val="24"/>
        </w:rPr>
        <w:t> </w:t>
      </w:r>
      <w:r>
        <w:rPr>
          <w:sz w:val="24"/>
        </w:rPr>
        <w:t>advanced concerning the correct construction of the statutory phrase “suffers from a</w:t>
      </w:r>
      <w:r>
        <w:rPr>
          <w:spacing w:val="1"/>
          <w:sz w:val="24"/>
        </w:rPr>
        <w:t> </w:t>
      </w:r>
      <w:r>
        <w:rPr>
          <w:sz w:val="24"/>
        </w:rPr>
        <w:t>state of arrested development or incomplete physical development of the brain” in</w:t>
      </w:r>
      <w:r>
        <w:rPr>
          <w:spacing w:val="1"/>
          <w:sz w:val="24"/>
        </w:rPr>
        <w:t> </w:t>
      </w:r>
      <w:r>
        <w:rPr>
          <w:sz w:val="24"/>
        </w:rPr>
        <w:t>regulation 12(5) of the DLA Regs, and whether the First-tier Tribunal applied that test</w:t>
      </w:r>
      <w:r>
        <w:rPr>
          <w:spacing w:val="1"/>
          <w:sz w:val="24"/>
        </w:rPr>
        <w:t> </w:t>
      </w:r>
      <w:r>
        <w:rPr>
          <w:sz w:val="24"/>
        </w:rPr>
        <w:t>correctly under its paraphrase “stopped or incomplete development of the brain”, was</w:t>
      </w:r>
      <w:r>
        <w:rPr>
          <w:spacing w:val="-64"/>
          <w:sz w:val="24"/>
        </w:rPr>
        <w:t> </w:t>
      </w:r>
      <w:r>
        <w:rPr>
          <w:sz w:val="24"/>
        </w:rPr>
        <w:t>arguable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merited</w:t>
      </w:r>
      <w:r>
        <w:rPr>
          <w:spacing w:val="-1"/>
          <w:sz w:val="24"/>
        </w:rPr>
        <w:t> </w:t>
      </w:r>
      <w:r>
        <w:rPr>
          <w:sz w:val="24"/>
        </w:rPr>
        <w:t>the further</w:t>
      </w:r>
      <w:r>
        <w:rPr>
          <w:spacing w:val="-1"/>
          <w:sz w:val="24"/>
        </w:rPr>
        <w:t> </w:t>
      </w:r>
      <w:r>
        <w:rPr>
          <w:sz w:val="24"/>
        </w:rPr>
        <w:t>attention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Upper</w:t>
      </w:r>
      <w:r>
        <w:rPr>
          <w:spacing w:val="-2"/>
          <w:sz w:val="24"/>
        </w:rPr>
        <w:t> </w:t>
      </w:r>
      <w:r>
        <w:rPr>
          <w:sz w:val="24"/>
        </w:rPr>
        <w:t>Tribunal.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120" w:after="0"/>
        <w:ind w:left="118" w:right="675" w:firstLine="0"/>
        <w:jc w:val="both"/>
        <w:rPr>
          <w:sz w:val="24"/>
        </w:rPr>
      </w:pPr>
      <w:r>
        <w:rPr>
          <w:sz w:val="24"/>
        </w:rPr>
        <w:t>I also drew attention when giving permission to appeal to the divergence of</w:t>
      </w:r>
      <w:r>
        <w:rPr>
          <w:spacing w:val="1"/>
          <w:sz w:val="24"/>
        </w:rPr>
        <w:t> </w:t>
      </w:r>
      <w:r>
        <w:rPr>
          <w:sz w:val="24"/>
        </w:rPr>
        <w:t>Upper Tribunal authority on the above statutory wording in </w:t>
      </w:r>
      <w:r>
        <w:rPr>
          <w:i/>
          <w:sz w:val="24"/>
        </w:rPr>
        <w:t>SC v SSWP </w:t>
      </w:r>
      <w:r>
        <w:rPr>
          <w:sz w:val="24"/>
        </w:rPr>
        <w:t>[2010] UKUT</w:t>
      </w:r>
      <w:r>
        <w:rPr>
          <w:spacing w:val="1"/>
          <w:sz w:val="24"/>
        </w:rPr>
        <w:t> </w:t>
      </w:r>
      <w:r>
        <w:rPr>
          <w:sz w:val="24"/>
        </w:rPr>
        <w:t>76 (AAC) in </w:t>
      </w:r>
      <w:r>
        <w:rPr>
          <w:i/>
          <w:sz w:val="24"/>
        </w:rPr>
        <w:t>NMcM v SSWP </w:t>
      </w:r>
      <w:r>
        <w:rPr>
          <w:sz w:val="24"/>
        </w:rPr>
        <w:t>(DLA) [2014] UKUT 312 (AAC). Neither case has been</w:t>
      </w:r>
      <w:r>
        <w:rPr>
          <w:spacing w:val="1"/>
          <w:sz w:val="24"/>
        </w:rPr>
        <w:t> </w:t>
      </w:r>
      <w:r>
        <w:rPr>
          <w:sz w:val="24"/>
        </w:rPr>
        <w:t>reported by the Upper Tribunal and in both cases the views expressed on the correct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above</w:t>
      </w:r>
      <w:r>
        <w:rPr>
          <w:spacing w:val="-2"/>
          <w:sz w:val="24"/>
        </w:rPr>
        <w:t> </w:t>
      </w:r>
      <w:r>
        <w:rPr>
          <w:sz w:val="24"/>
        </w:rPr>
        <w:t>statutory</w:t>
      </w:r>
      <w:r>
        <w:rPr>
          <w:spacing w:val="-1"/>
          <w:sz w:val="24"/>
        </w:rPr>
        <w:t> </w:t>
      </w:r>
      <w:r>
        <w:rPr>
          <w:sz w:val="24"/>
        </w:rPr>
        <w:t>phrase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arguably</w:t>
      </w:r>
      <w:r>
        <w:rPr>
          <w:spacing w:val="-1"/>
          <w:sz w:val="24"/>
        </w:rPr>
        <w:t> </w:t>
      </w:r>
      <w:r>
        <w:rPr>
          <w:sz w:val="24"/>
        </w:rPr>
        <w:t>obiter.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120" w:after="0"/>
        <w:ind w:left="118" w:right="675" w:firstLine="0"/>
        <w:jc w:val="both"/>
        <w:rPr>
          <w:sz w:val="24"/>
        </w:rPr>
      </w:pPr>
      <w:r>
        <w:rPr>
          <w:sz w:val="24"/>
        </w:rPr>
        <w:t>I further said when giving permission to appeal that insofar as the arguments</w:t>
      </w:r>
      <w:r>
        <w:rPr>
          <w:spacing w:val="1"/>
          <w:sz w:val="24"/>
        </w:rPr>
        <w:t> </w:t>
      </w:r>
      <w:r>
        <w:rPr>
          <w:sz w:val="24"/>
        </w:rPr>
        <w:t>advanced on behalf of the appellant concerned ADHD satisfying the (correct) test for</w:t>
      </w:r>
      <w:r>
        <w:rPr>
          <w:spacing w:val="1"/>
          <w:sz w:val="24"/>
        </w:rPr>
        <w:t> </w:t>
      </w:r>
      <w:r>
        <w:rPr>
          <w:sz w:val="24"/>
        </w:rPr>
        <w:t>suffering</w:t>
      </w:r>
      <w:r>
        <w:rPr>
          <w:spacing w:val="62"/>
          <w:sz w:val="24"/>
        </w:rPr>
        <w:t> </w:t>
      </w:r>
      <w:r>
        <w:rPr>
          <w:sz w:val="24"/>
        </w:rPr>
        <w:t>from</w:t>
      </w:r>
      <w:r>
        <w:rPr>
          <w:spacing w:val="62"/>
          <w:sz w:val="24"/>
        </w:rPr>
        <w:t> </w:t>
      </w:r>
      <w:r>
        <w:rPr>
          <w:sz w:val="24"/>
        </w:rPr>
        <w:t>“arrested</w:t>
      </w:r>
      <w:r>
        <w:rPr>
          <w:spacing w:val="62"/>
          <w:sz w:val="24"/>
        </w:rPr>
        <w:t> </w:t>
      </w:r>
      <w:r>
        <w:rPr>
          <w:sz w:val="24"/>
        </w:rPr>
        <w:t>development</w:t>
      </w:r>
      <w:r>
        <w:rPr>
          <w:spacing w:val="62"/>
          <w:sz w:val="24"/>
        </w:rPr>
        <w:t> </w:t>
      </w:r>
      <w:r>
        <w:rPr>
          <w:sz w:val="24"/>
        </w:rPr>
        <w:t>or</w:t>
      </w:r>
      <w:r>
        <w:rPr>
          <w:spacing w:val="62"/>
          <w:sz w:val="24"/>
        </w:rPr>
        <w:t> </w:t>
      </w:r>
      <w:r>
        <w:rPr>
          <w:sz w:val="24"/>
        </w:rPr>
        <w:t>incomplete</w:t>
      </w:r>
      <w:r>
        <w:rPr>
          <w:spacing w:val="62"/>
          <w:sz w:val="24"/>
        </w:rPr>
        <w:t> </w:t>
      </w:r>
      <w:r>
        <w:rPr>
          <w:sz w:val="24"/>
        </w:rPr>
        <w:t>physical</w:t>
      </w:r>
      <w:r>
        <w:rPr>
          <w:spacing w:val="62"/>
          <w:sz w:val="24"/>
        </w:rPr>
        <w:t> </w:t>
      </w:r>
      <w:r>
        <w:rPr>
          <w:sz w:val="24"/>
        </w:rPr>
        <w:t>development</w:t>
      </w:r>
      <w:r>
        <w:rPr>
          <w:spacing w:val="62"/>
          <w:sz w:val="24"/>
        </w:rPr>
        <w:t> </w:t>
      </w:r>
      <w:r>
        <w:rPr>
          <w:sz w:val="24"/>
        </w:rPr>
        <w:t>of</w:t>
      </w:r>
      <w:r>
        <w:rPr>
          <w:spacing w:val="62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brain”,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Upper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address</w:t>
      </w:r>
      <w:r>
        <w:rPr>
          <w:spacing w:val="66"/>
          <w:sz w:val="24"/>
        </w:rPr>
        <w:t> </w:t>
      </w:r>
      <w:r>
        <w:rPr>
          <w:sz w:val="24"/>
        </w:rPr>
        <w:t>whether</w:t>
      </w:r>
      <w:r>
        <w:rPr>
          <w:spacing w:val="-64"/>
          <w:sz w:val="24"/>
        </w:rPr>
        <w:t> </w:t>
      </w:r>
      <w:r>
        <w:rPr>
          <w:sz w:val="24"/>
        </w:rPr>
        <w:t>medical knowledge about ADHD had moved on in this regard since </w:t>
      </w:r>
      <w:r>
        <w:rPr>
          <w:i/>
          <w:sz w:val="24"/>
        </w:rPr>
        <w:t>CDLA/5153/1997</w:t>
      </w:r>
      <w:r>
        <w:rPr>
          <w:i/>
          <w:spacing w:val="-64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decided.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120" w:after="0"/>
        <w:ind w:left="118" w:right="675" w:firstLine="0"/>
        <w:jc w:val="both"/>
        <w:rPr>
          <w:sz w:val="24"/>
        </w:rPr>
      </w:pPr>
      <w:r>
        <w:rPr>
          <w:sz w:val="24"/>
        </w:rPr>
        <w:t>Both parties’ legal representatives agree that </w:t>
      </w:r>
      <w:r>
        <w:rPr>
          <w:i/>
          <w:sz w:val="24"/>
        </w:rPr>
        <w:t>SC </w:t>
      </w:r>
      <w:r>
        <w:rPr>
          <w:sz w:val="24"/>
        </w:rPr>
        <w:t>was wrongly decided and that</w:t>
      </w:r>
      <w:r>
        <w:rPr>
          <w:spacing w:val="1"/>
          <w:sz w:val="24"/>
        </w:rPr>
        <w:t> </w:t>
      </w:r>
      <w:r>
        <w:rPr>
          <w:i/>
          <w:sz w:val="24"/>
        </w:rPr>
        <w:t>NMcM </w:t>
      </w:r>
      <w:r>
        <w:rPr>
          <w:sz w:val="24"/>
        </w:rPr>
        <w:t>correctly sets out the proper legal approach to the statutory test of “suffers</w:t>
      </w:r>
      <w:r>
        <w:rPr>
          <w:spacing w:val="1"/>
          <w:sz w:val="24"/>
        </w:rPr>
        <w:t> </w:t>
      </w:r>
      <w:r>
        <w:rPr>
          <w:sz w:val="24"/>
        </w:rPr>
        <w:t>from a state of arrested development or incomplete physical development of the</w:t>
      </w:r>
      <w:r>
        <w:rPr>
          <w:spacing w:val="1"/>
          <w:sz w:val="24"/>
        </w:rPr>
        <w:t> </w:t>
      </w:r>
      <w:r>
        <w:rPr>
          <w:sz w:val="24"/>
        </w:rPr>
        <w:t>brain”. I agree with parties on this point, though nothing now turns on it for the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appeal.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120" w:after="0"/>
        <w:ind w:left="118" w:right="676" w:firstLine="0"/>
        <w:jc w:val="both"/>
        <w:rPr>
          <w:sz w:val="24"/>
        </w:rPr>
      </w:pPr>
      <w:r>
        <w:rPr>
          <w:sz w:val="24"/>
        </w:rPr>
        <w:t>Since permission to appeal was given both parties have sought to put forward</w:t>
      </w:r>
      <w:r>
        <w:rPr>
          <w:spacing w:val="1"/>
          <w:sz w:val="24"/>
        </w:rPr>
        <w:t> </w:t>
      </w:r>
      <w:r>
        <w:rPr>
          <w:sz w:val="24"/>
        </w:rPr>
        <w:t>medical</w:t>
      </w:r>
      <w:r>
        <w:rPr>
          <w:spacing w:val="1"/>
          <w:sz w:val="24"/>
        </w:rPr>
        <w:t> </w:t>
      </w:r>
      <w:r>
        <w:rPr>
          <w:sz w:val="24"/>
        </w:rPr>
        <w:t>evidence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ADHD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now</w:t>
      </w:r>
      <w:r>
        <w:rPr>
          <w:spacing w:val="1"/>
          <w:sz w:val="24"/>
        </w:rPr>
        <w:t> </w:t>
      </w:r>
      <w:r>
        <w:rPr>
          <w:sz w:val="24"/>
        </w:rPr>
        <w:t>accepted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medical</w:t>
      </w:r>
      <w:r>
        <w:rPr>
          <w:spacing w:val="1"/>
          <w:sz w:val="24"/>
        </w:rPr>
        <w:t> </w:t>
      </w:r>
      <w:r>
        <w:rPr>
          <w:sz w:val="24"/>
        </w:rPr>
        <w:t>community as amounting to a state of arrested development or incomplete physical</w:t>
      </w:r>
      <w:r>
        <w:rPr>
          <w:spacing w:val="1"/>
          <w:sz w:val="24"/>
        </w:rPr>
        <w:t> </w:t>
      </w:r>
      <w:r>
        <w:rPr>
          <w:sz w:val="24"/>
        </w:rPr>
        <w:t>development of the brain. I thank both parties for their helpful efforts in this regard.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circumstances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now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6"/>
          <w:sz w:val="24"/>
        </w:rPr>
        <w:t> </w:t>
      </w:r>
      <w:r>
        <w:rPr>
          <w:sz w:val="24"/>
        </w:rPr>
        <w:t>parties,</w:t>
      </w:r>
      <w:r>
        <w:rPr>
          <w:spacing w:val="6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accepted by me, that (a) the First-tier Tribunal erred in law and (b) the appellant’s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combination</w:t>
      </w:r>
      <w:r>
        <w:rPr>
          <w:sz w:val="24"/>
        </w:rPr>
        <w:t> of medical conditions meets the statutory criteria in regulation 12(5) of</w:t>
      </w:r>
      <w:r>
        <w:rPr>
          <w:spacing w:val="1"/>
          <w:sz w:val="24"/>
        </w:rPr>
        <w:t> </w:t>
      </w:r>
      <w:r>
        <w:rPr>
          <w:sz w:val="24"/>
        </w:rPr>
        <w:t>the DLA Regs (and the appellant also satisfied the regulation 12(6) criteria at the</w:t>
      </w:r>
      <w:r>
        <w:rPr>
          <w:spacing w:val="1"/>
          <w:sz w:val="24"/>
        </w:rPr>
        <w:t> </w:t>
      </w:r>
      <w:r>
        <w:rPr>
          <w:sz w:val="24"/>
        </w:rPr>
        <w:t>material time), I do not consider it either necessary or appropriate for me address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-3"/>
          <w:sz w:val="24"/>
        </w:rPr>
        <w:t> </w:t>
      </w:r>
      <w:r>
        <w:rPr>
          <w:sz w:val="24"/>
        </w:rPr>
        <w:t>ADHD</w:t>
      </w:r>
      <w:r>
        <w:rPr>
          <w:spacing w:val="-2"/>
          <w:sz w:val="24"/>
        </w:rPr>
        <w:t> </w:t>
      </w:r>
      <w:r>
        <w:rPr>
          <w:sz w:val="24"/>
        </w:rPr>
        <w:t>alone</w:t>
      </w:r>
      <w:r>
        <w:rPr>
          <w:spacing w:val="-1"/>
          <w:sz w:val="24"/>
        </w:rPr>
        <w:t> </w:t>
      </w:r>
      <w:r>
        <w:rPr>
          <w:sz w:val="24"/>
        </w:rPr>
        <w:t>meets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criterion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regulation</w:t>
      </w:r>
      <w:r>
        <w:rPr>
          <w:spacing w:val="-2"/>
          <w:sz w:val="24"/>
        </w:rPr>
        <w:t> </w:t>
      </w:r>
      <w:r>
        <w:rPr>
          <w:sz w:val="24"/>
        </w:rPr>
        <w:t>12(5)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DLA</w:t>
      </w:r>
      <w:r>
        <w:rPr>
          <w:spacing w:val="-2"/>
          <w:sz w:val="24"/>
        </w:rPr>
        <w:t> </w:t>
      </w:r>
      <w:r>
        <w:rPr>
          <w:sz w:val="24"/>
        </w:rPr>
        <w:t>Regs.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120" w:after="0"/>
        <w:ind w:left="118" w:right="674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reached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position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appeal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allowed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particular circumstances of this case, and given that no wider issues about ADHD</w:t>
      </w:r>
      <w:r>
        <w:rPr>
          <w:spacing w:val="1"/>
          <w:sz w:val="24"/>
        </w:rPr>
        <w:t> </w:t>
      </w:r>
      <w:r>
        <w:rPr>
          <w:sz w:val="24"/>
        </w:rPr>
        <w:t>now arise on this case, there is no need to hold an oral hearing on this appeal to</w:t>
      </w:r>
      <w:r>
        <w:rPr>
          <w:spacing w:val="1"/>
          <w:sz w:val="24"/>
        </w:rPr>
        <w:t> </w:t>
      </w:r>
      <w:r>
        <w:rPr>
          <w:sz w:val="24"/>
        </w:rPr>
        <w:t>address those issues. I therefore set aside my earlier direction for an oral hearing to</w:t>
      </w:r>
      <w:r>
        <w:rPr>
          <w:spacing w:val="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place on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appeal.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120" w:after="0"/>
        <w:ind w:left="118" w:right="675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reasons</w:t>
      </w:r>
      <w:r>
        <w:rPr>
          <w:spacing w:val="1"/>
          <w:sz w:val="24"/>
        </w:rPr>
        <w:t> </w:t>
      </w:r>
      <w:r>
        <w:rPr>
          <w:sz w:val="24"/>
        </w:rPr>
        <w:t>put</w:t>
      </w:r>
      <w:r>
        <w:rPr>
          <w:spacing w:val="1"/>
          <w:sz w:val="24"/>
        </w:rPr>
        <w:t> </w:t>
      </w:r>
      <w:r>
        <w:rPr>
          <w:sz w:val="24"/>
        </w:rPr>
        <w:t>forward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Secretary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66"/>
          <w:sz w:val="24"/>
        </w:rPr>
        <w:t> </w:t>
      </w:r>
      <w:r>
        <w:rPr>
          <w:sz w:val="24"/>
        </w:rPr>
        <w:t>his</w:t>
      </w:r>
      <w:r>
        <w:rPr>
          <w:spacing w:val="1"/>
          <w:sz w:val="24"/>
        </w:rPr>
        <w:t> </w:t>
      </w:r>
      <w:r>
        <w:rPr>
          <w:sz w:val="24"/>
        </w:rPr>
        <w:t>submissions of 12 October 2022 for allowing this appeal. I therefore do no more than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 relevant</w:t>
      </w:r>
      <w:r>
        <w:rPr>
          <w:spacing w:val="-1"/>
          <w:sz w:val="24"/>
        </w:rPr>
        <w:t> </w:t>
      </w:r>
      <w:r>
        <w:rPr>
          <w:sz w:val="24"/>
        </w:rPr>
        <w:t>parts of</w:t>
      </w:r>
      <w:r>
        <w:rPr>
          <w:spacing w:val="-1"/>
          <w:sz w:val="24"/>
        </w:rPr>
        <w:t> </w:t>
      </w:r>
      <w:r>
        <w:rPr>
          <w:sz w:val="24"/>
        </w:rPr>
        <w:t>those submissions.</w:t>
      </w:r>
    </w:p>
    <w:p>
      <w:pPr>
        <w:spacing w:before="120"/>
        <w:ind w:left="1252" w:right="676" w:firstLine="0"/>
        <w:jc w:val="both"/>
        <w:rPr>
          <w:sz w:val="22"/>
        </w:rPr>
      </w:pPr>
      <w:r>
        <w:rPr>
          <w:sz w:val="24"/>
        </w:rPr>
        <w:t>“</w:t>
      </w:r>
      <w:r>
        <w:rPr>
          <w:sz w:val="22"/>
        </w:rPr>
        <w:t>1.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Secretary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State</w:t>
      </w:r>
      <w:r>
        <w:rPr>
          <w:spacing w:val="16"/>
          <w:sz w:val="22"/>
        </w:rPr>
        <w:t> </w:t>
      </w:r>
      <w:r>
        <w:rPr>
          <w:sz w:val="22"/>
        </w:rPr>
        <w:t>(“SSWP”)</w:t>
      </w:r>
      <w:r>
        <w:rPr>
          <w:spacing w:val="16"/>
          <w:sz w:val="22"/>
        </w:rPr>
        <w:t> </w:t>
      </w:r>
      <w:r>
        <w:rPr>
          <w:sz w:val="22"/>
        </w:rPr>
        <w:t>is</w:t>
      </w:r>
      <w:r>
        <w:rPr>
          <w:spacing w:val="17"/>
          <w:sz w:val="22"/>
        </w:rPr>
        <w:t> </w:t>
      </w:r>
      <w:r>
        <w:rPr>
          <w:sz w:val="22"/>
        </w:rPr>
        <w:t>grateful</w:t>
      </w:r>
      <w:r>
        <w:rPr>
          <w:spacing w:val="16"/>
          <w:sz w:val="22"/>
        </w:rPr>
        <w:t> </w:t>
      </w:r>
      <w:r>
        <w:rPr>
          <w:sz w:val="22"/>
        </w:rPr>
        <w:t>to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Tribunal</w:t>
      </w:r>
      <w:r>
        <w:rPr>
          <w:spacing w:val="17"/>
          <w:sz w:val="22"/>
        </w:rPr>
        <w:t> </w:t>
      </w:r>
      <w:r>
        <w:rPr>
          <w:sz w:val="22"/>
        </w:rPr>
        <w:t>for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extension</w:t>
      </w:r>
      <w:r>
        <w:rPr>
          <w:spacing w:val="-58"/>
          <w:sz w:val="22"/>
        </w:rPr>
        <w:t> </w:t>
      </w:r>
      <w:r>
        <w:rPr>
          <w:sz w:val="22"/>
        </w:rPr>
        <w:t>of time to enable her to obtain, and consider, an expert report from Dr David</w:t>
      </w:r>
      <w:r>
        <w:rPr>
          <w:spacing w:val="1"/>
          <w:sz w:val="22"/>
        </w:rPr>
        <w:t> </w:t>
      </w:r>
      <w:r>
        <w:rPr>
          <w:sz w:val="22"/>
        </w:rPr>
        <w:t>Foreman. A copy of his report dated 30 August 2022 is attached. Based on the</w:t>
      </w:r>
      <w:r>
        <w:rPr>
          <w:spacing w:val="1"/>
          <w:sz w:val="22"/>
        </w:rPr>
        <w:t> </w:t>
      </w:r>
      <w:r>
        <w:rPr>
          <w:sz w:val="22"/>
        </w:rPr>
        <w:t>combination of [the appellant’s] diagnoses of Neurofibromatosis type 1 (“NF1”)</w:t>
      </w:r>
      <w:r>
        <w:rPr>
          <w:spacing w:val="1"/>
          <w:sz w:val="22"/>
        </w:rPr>
        <w:t> </w:t>
      </w:r>
      <w:r>
        <w:rPr>
          <w:sz w:val="22"/>
        </w:rPr>
        <w:t>and ADHD, he concludes that [the appellant] does suffer from a state of arrested</w:t>
      </w:r>
      <w:r>
        <w:rPr>
          <w:spacing w:val="1"/>
          <w:sz w:val="22"/>
        </w:rPr>
        <w:t> </w:t>
      </w:r>
      <w:r>
        <w:rPr>
          <w:sz w:val="22"/>
        </w:rPr>
        <w:t>development of the brain which results in severe impairment of intelligence and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functioning.</w:t>
      </w:r>
    </w:p>
    <w:p>
      <w:pPr>
        <w:spacing w:after="0"/>
        <w:jc w:val="both"/>
        <w:rPr>
          <w:sz w:val="22"/>
        </w:rPr>
        <w:sectPr>
          <w:headerReference w:type="default" r:id="rId7"/>
          <w:footerReference w:type="default" r:id="rId8"/>
          <w:pgSz w:w="11910" w:h="16840"/>
          <w:pgMar w:header="728" w:footer="742" w:top="980" w:bottom="940" w:left="1300" w:right="740"/>
          <w:pgNumType w:start="2"/>
        </w:sectPr>
      </w:pPr>
    </w:p>
    <w:p>
      <w:pPr>
        <w:pStyle w:val="BodyText"/>
        <w:spacing w:before="7"/>
        <w:rPr>
          <w:sz w:val="28"/>
        </w:rPr>
      </w:pPr>
    </w:p>
    <w:p>
      <w:pPr>
        <w:spacing w:before="93"/>
        <w:ind w:left="1252" w:right="676" w:firstLine="0"/>
        <w:jc w:val="both"/>
        <w:rPr>
          <w:sz w:val="22"/>
        </w:rPr>
      </w:pPr>
      <w:r>
        <w:rPr>
          <w:sz w:val="22"/>
        </w:rPr>
        <w:t>2. For the reasons set out below, SSWP submits that the appeal should be</w:t>
      </w:r>
      <w:r>
        <w:rPr>
          <w:spacing w:val="1"/>
          <w:sz w:val="22"/>
        </w:rPr>
        <w:t> </w:t>
      </w:r>
      <w:r>
        <w:rPr>
          <w:sz w:val="22"/>
        </w:rPr>
        <w:t>allowed…..</w:t>
      </w:r>
    </w:p>
    <w:p>
      <w:pPr>
        <w:spacing w:before="120"/>
        <w:ind w:left="1252" w:right="675" w:firstLine="0"/>
        <w:jc w:val="both"/>
        <w:rPr>
          <w:sz w:val="22"/>
        </w:rPr>
      </w:pPr>
      <w:r>
        <w:rPr>
          <w:sz w:val="22"/>
        </w:rPr>
        <w:t>8. The report from Dr Foreman explains the interaction between NF1 (which can</w:t>
      </w:r>
      <w:r>
        <w:rPr>
          <w:spacing w:val="1"/>
          <w:sz w:val="22"/>
        </w:rPr>
        <w:t> </w:t>
      </w:r>
      <w:r>
        <w:rPr>
          <w:sz w:val="22"/>
        </w:rPr>
        <w:t>cause ADHD, as he explains) and ADHD. He sets out in section 2 of his report</w:t>
      </w:r>
      <w:r>
        <w:rPr>
          <w:spacing w:val="1"/>
          <w:sz w:val="22"/>
        </w:rPr>
        <w:t> </w:t>
      </w:r>
      <w:r>
        <w:rPr>
          <w:sz w:val="22"/>
        </w:rPr>
        <w:t>that: (a) NF1 affects the Central Nervous System, and causes the structural and</w:t>
      </w:r>
      <w:r>
        <w:rPr>
          <w:spacing w:val="1"/>
          <w:sz w:val="22"/>
        </w:rPr>
        <w:t> </w:t>
      </w:r>
      <w:r>
        <w:rPr>
          <w:sz w:val="22"/>
        </w:rPr>
        <w:t>functional brain abnormalities identified in cases of NF1; and (b) ADHD in NF1 is</w:t>
      </w:r>
      <w:r>
        <w:rPr>
          <w:spacing w:val="1"/>
          <w:sz w:val="22"/>
        </w:rPr>
        <w:t> </w:t>
      </w:r>
      <w:r>
        <w:rPr>
          <w:sz w:val="22"/>
        </w:rPr>
        <w:t>different from cases of ADHD without the mutation; NF1 is the cause of ADHD</w:t>
      </w:r>
      <w:r>
        <w:rPr>
          <w:spacing w:val="1"/>
          <w:sz w:val="22"/>
        </w:rPr>
        <w:t> </w:t>
      </w:r>
      <w:r>
        <w:rPr>
          <w:sz w:val="22"/>
        </w:rPr>
        <w:t>where ADHD and NF1 are present together. ADHD in the context of NF1 predicts</w:t>
      </w:r>
      <w:r>
        <w:rPr>
          <w:spacing w:val="-59"/>
          <w:sz w:val="22"/>
        </w:rPr>
        <w:t> </w:t>
      </w:r>
      <w:r>
        <w:rPr>
          <w:sz w:val="22"/>
        </w:rPr>
        <w:t>worse intellectual functioning and is unlikely to remit. In those circumstances, he</w:t>
      </w:r>
      <w:r>
        <w:rPr>
          <w:spacing w:val="1"/>
          <w:sz w:val="22"/>
        </w:rPr>
        <w:t> </w:t>
      </w:r>
      <w:r>
        <w:rPr>
          <w:sz w:val="22"/>
        </w:rPr>
        <w:t>considers</w:t>
      </w:r>
      <w:r>
        <w:rPr>
          <w:spacing w:val="19"/>
          <w:sz w:val="22"/>
        </w:rPr>
        <w:t> </w:t>
      </w:r>
      <w:r>
        <w:rPr>
          <w:sz w:val="22"/>
        </w:rPr>
        <w:t>that</w:t>
      </w:r>
      <w:r>
        <w:rPr>
          <w:spacing w:val="20"/>
          <w:sz w:val="22"/>
        </w:rPr>
        <w:t> </w:t>
      </w:r>
      <w:r>
        <w:rPr>
          <w:sz w:val="22"/>
        </w:rPr>
        <w:t>[the</w:t>
      </w:r>
      <w:r>
        <w:rPr>
          <w:spacing w:val="20"/>
          <w:sz w:val="22"/>
        </w:rPr>
        <w:t> </w:t>
      </w:r>
      <w:r>
        <w:rPr>
          <w:sz w:val="22"/>
        </w:rPr>
        <w:t>appellant]</w:t>
      </w:r>
      <w:r>
        <w:rPr>
          <w:spacing w:val="20"/>
          <w:sz w:val="22"/>
        </w:rPr>
        <w:t> </w:t>
      </w:r>
      <w:r>
        <w:rPr>
          <w:sz w:val="22"/>
        </w:rPr>
        <w:t>does</w:t>
      </w:r>
      <w:r>
        <w:rPr>
          <w:spacing w:val="20"/>
          <w:sz w:val="22"/>
        </w:rPr>
        <w:t> </w:t>
      </w:r>
      <w:r>
        <w:rPr>
          <w:sz w:val="22"/>
        </w:rPr>
        <w:t>“suffer</w:t>
      </w:r>
      <w:r>
        <w:rPr>
          <w:spacing w:val="20"/>
          <w:sz w:val="22"/>
        </w:rPr>
        <w:t> </w:t>
      </w:r>
      <w:r>
        <w:rPr>
          <w:sz w:val="22"/>
        </w:rPr>
        <w:t>from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state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arrested</w:t>
      </w:r>
      <w:r>
        <w:rPr>
          <w:spacing w:val="20"/>
          <w:sz w:val="22"/>
        </w:rPr>
        <w:t> </w:t>
      </w:r>
      <w:r>
        <w:rPr>
          <w:sz w:val="22"/>
        </w:rPr>
        <w:t>development</w:t>
      </w:r>
      <w:r>
        <w:rPr>
          <w:spacing w:val="-58"/>
          <w:sz w:val="22"/>
        </w:rPr>
        <w:t> </w:t>
      </w:r>
      <w:r>
        <w:rPr>
          <w:sz w:val="22"/>
        </w:rPr>
        <w:t>or</w:t>
      </w:r>
      <w:r>
        <w:rPr>
          <w:spacing w:val="52"/>
          <w:sz w:val="22"/>
        </w:rPr>
        <w:t> </w:t>
      </w:r>
      <w:r>
        <w:rPr>
          <w:sz w:val="22"/>
        </w:rPr>
        <w:t>incomplete</w:t>
      </w:r>
      <w:r>
        <w:rPr>
          <w:spacing w:val="52"/>
          <w:sz w:val="22"/>
        </w:rPr>
        <w:t> </w:t>
      </w:r>
      <w:r>
        <w:rPr>
          <w:sz w:val="22"/>
        </w:rPr>
        <w:t>physical</w:t>
      </w:r>
      <w:r>
        <w:rPr>
          <w:spacing w:val="52"/>
          <w:sz w:val="22"/>
        </w:rPr>
        <w:t> </w:t>
      </w:r>
      <w:r>
        <w:rPr>
          <w:sz w:val="22"/>
        </w:rPr>
        <w:t>development</w:t>
      </w:r>
      <w:r>
        <w:rPr>
          <w:spacing w:val="52"/>
          <w:sz w:val="22"/>
        </w:rPr>
        <w:t> </w:t>
      </w:r>
      <w:r>
        <w:rPr>
          <w:sz w:val="22"/>
        </w:rPr>
        <w:t>of</w:t>
      </w:r>
      <w:r>
        <w:rPr>
          <w:spacing w:val="52"/>
          <w:sz w:val="22"/>
        </w:rPr>
        <w:t> </w:t>
      </w:r>
      <w:r>
        <w:rPr>
          <w:sz w:val="22"/>
        </w:rPr>
        <w:t>the</w:t>
      </w:r>
      <w:r>
        <w:rPr>
          <w:spacing w:val="52"/>
          <w:sz w:val="22"/>
        </w:rPr>
        <w:t> </w:t>
      </w:r>
      <w:r>
        <w:rPr>
          <w:sz w:val="22"/>
        </w:rPr>
        <w:t>brain.”</w:t>
      </w:r>
      <w:r>
        <w:rPr>
          <w:spacing w:val="52"/>
          <w:sz w:val="22"/>
        </w:rPr>
        <w:t> </w:t>
      </w:r>
      <w:r>
        <w:rPr>
          <w:sz w:val="22"/>
        </w:rPr>
        <w:t>He</w:t>
      </w:r>
      <w:r>
        <w:rPr>
          <w:spacing w:val="52"/>
          <w:sz w:val="22"/>
        </w:rPr>
        <w:t> </w:t>
      </w:r>
      <w:r>
        <w:rPr>
          <w:sz w:val="22"/>
        </w:rPr>
        <w:t>adds</w:t>
      </w:r>
      <w:r>
        <w:rPr>
          <w:spacing w:val="52"/>
          <w:sz w:val="22"/>
        </w:rPr>
        <w:t> </w:t>
      </w:r>
      <w:r>
        <w:rPr>
          <w:sz w:val="22"/>
        </w:rPr>
        <w:t>in</w:t>
      </w:r>
      <w:r>
        <w:rPr>
          <w:spacing w:val="53"/>
          <w:sz w:val="22"/>
        </w:rPr>
        <w:t> </w:t>
      </w:r>
      <w:r>
        <w:rPr>
          <w:sz w:val="22"/>
        </w:rPr>
        <w:t>section</w:t>
      </w:r>
      <w:r>
        <w:rPr>
          <w:spacing w:val="52"/>
          <w:sz w:val="22"/>
        </w:rPr>
        <w:t> </w:t>
      </w:r>
      <w:r>
        <w:rPr>
          <w:sz w:val="22"/>
        </w:rPr>
        <w:t>3</w:t>
      </w:r>
      <w:r>
        <w:rPr>
          <w:spacing w:val="52"/>
          <w:sz w:val="22"/>
        </w:rPr>
        <w:t> </w:t>
      </w:r>
      <w:r>
        <w:rPr>
          <w:sz w:val="22"/>
        </w:rPr>
        <w:t>that</w:t>
      </w:r>
      <w:r>
        <w:rPr>
          <w:spacing w:val="-59"/>
          <w:sz w:val="22"/>
        </w:rPr>
        <w:t> </w:t>
      </w:r>
      <w:r>
        <w:rPr>
          <w:sz w:val="22"/>
        </w:rPr>
        <w:t>ADHD</w:t>
      </w:r>
      <w:r>
        <w:rPr>
          <w:spacing w:val="-2"/>
          <w:sz w:val="22"/>
        </w:rPr>
        <w:t> </w:t>
      </w:r>
      <w:r>
        <w:rPr>
          <w:sz w:val="22"/>
        </w:rPr>
        <w:t>without</w:t>
      </w:r>
      <w:r>
        <w:rPr>
          <w:spacing w:val="-3"/>
          <w:sz w:val="22"/>
        </w:rPr>
        <w:t> </w:t>
      </w:r>
      <w:r>
        <w:rPr>
          <w:sz w:val="22"/>
        </w:rPr>
        <w:t>NF1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likely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different</w:t>
      </w:r>
      <w:r>
        <w:rPr>
          <w:spacing w:val="-3"/>
          <w:sz w:val="22"/>
        </w:rPr>
        <w:t> </w:t>
      </w:r>
      <w:r>
        <w:rPr>
          <w:sz w:val="22"/>
        </w:rPr>
        <w:t>pattern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brain</w:t>
      </w:r>
      <w:r>
        <w:rPr>
          <w:spacing w:val="-3"/>
          <w:sz w:val="22"/>
        </w:rPr>
        <w:t> </w:t>
      </w:r>
      <w:r>
        <w:rPr>
          <w:sz w:val="22"/>
        </w:rPr>
        <w:t>abnormalities.</w:t>
      </w:r>
    </w:p>
    <w:p>
      <w:pPr>
        <w:pStyle w:val="ListParagraph"/>
        <w:numPr>
          <w:ilvl w:val="0"/>
          <w:numId w:val="2"/>
        </w:numPr>
        <w:tabs>
          <w:tab w:pos="1819" w:val="left" w:leader="none"/>
        </w:tabs>
        <w:spacing w:line="240" w:lineRule="auto" w:before="120" w:after="0"/>
        <w:ind w:left="1252" w:right="675" w:firstLine="0"/>
        <w:jc w:val="both"/>
        <w:rPr>
          <w:sz w:val="22"/>
        </w:rPr>
      </w:pPr>
      <w:r>
        <w:rPr>
          <w:sz w:val="22"/>
        </w:rPr>
        <w:t>Dr Foreman also considers, for the reasons set out in section 4, that [the</w:t>
      </w:r>
      <w:r>
        <w:rPr>
          <w:spacing w:val="1"/>
          <w:sz w:val="22"/>
        </w:rPr>
        <w:t> </w:t>
      </w:r>
      <w:r>
        <w:rPr>
          <w:sz w:val="22"/>
        </w:rPr>
        <w:t>appellant’s] diagnosed conditions cause severe impairment of intelligence and</w:t>
      </w:r>
      <w:r>
        <w:rPr>
          <w:spacing w:val="1"/>
          <w:sz w:val="22"/>
        </w:rPr>
        <w:t> </w:t>
      </w:r>
      <w:r>
        <w:rPr>
          <w:sz w:val="22"/>
        </w:rPr>
        <w:t>social functioning. SSWP does not take issue with that conclusion on the specific</w:t>
      </w:r>
      <w:r>
        <w:rPr>
          <w:spacing w:val="1"/>
          <w:sz w:val="22"/>
        </w:rPr>
        <w:t> </w:t>
      </w:r>
      <w:r>
        <w:rPr>
          <w:sz w:val="22"/>
        </w:rPr>
        <w:t>facts 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case.</w:t>
      </w:r>
    </w:p>
    <w:p>
      <w:pPr>
        <w:pStyle w:val="ListParagraph"/>
        <w:numPr>
          <w:ilvl w:val="0"/>
          <w:numId w:val="2"/>
        </w:numPr>
        <w:tabs>
          <w:tab w:pos="1819" w:val="left" w:leader="none"/>
        </w:tabs>
        <w:spacing w:line="240" w:lineRule="auto" w:before="120" w:after="0"/>
        <w:ind w:left="1252" w:right="675" w:firstLine="0"/>
        <w:jc w:val="both"/>
        <w:rPr>
          <w:sz w:val="22"/>
        </w:rPr>
      </w:pPr>
      <w:r>
        <w:rPr>
          <w:sz w:val="22"/>
        </w:rPr>
        <w:t>Having</w:t>
      </w:r>
      <w:r>
        <w:rPr>
          <w:spacing w:val="20"/>
          <w:sz w:val="22"/>
        </w:rPr>
        <w:t> </w:t>
      </w:r>
      <w:r>
        <w:rPr>
          <w:sz w:val="22"/>
        </w:rPr>
        <w:t>reviewed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report</w:t>
      </w:r>
      <w:r>
        <w:rPr>
          <w:spacing w:val="20"/>
          <w:sz w:val="22"/>
        </w:rPr>
        <w:t> </w:t>
      </w:r>
      <w:r>
        <w:rPr>
          <w:sz w:val="22"/>
        </w:rPr>
        <w:t>from</w:t>
      </w:r>
      <w:r>
        <w:rPr>
          <w:spacing w:val="20"/>
          <w:sz w:val="22"/>
        </w:rPr>
        <w:t> </w:t>
      </w:r>
      <w:r>
        <w:rPr>
          <w:sz w:val="22"/>
        </w:rPr>
        <w:t>Dr</w:t>
      </w:r>
      <w:r>
        <w:rPr>
          <w:spacing w:val="20"/>
          <w:sz w:val="22"/>
        </w:rPr>
        <w:t> </w:t>
      </w:r>
      <w:r>
        <w:rPr>
          <w:sz w:val="22"/>
        </w:rPr>
        <w:t>Foreman,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on</w:t>
      </w:r>
      <w:r>
        <w:rPr>
          <w:spacing w:val="21"/>
          <w:sz w:val="22"/>
        </w:rPr>
        <w:t> </w:t>
      </w:r>
      <w:r>
        <w:rPr>
          <w:sz w:val="22"/>
        </w:rPr>
        <w:t>reflection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relation</w:t>
      </w:r>
      <w:r>
        <w:rPr>
          <w:spacing w:val="-59"/>
          <w:sz w:val="22"/>
        </w:rPr>
        <w:t> </w:t>
      </w:r>
      <w:r>
        <w:rPr>
          <w:sz w:val="22"/>
        </w:rPr>
        <w:t>to this appeal more generally, SSWP considers that the FTT made a material</w:t>
      </w:r>
      <w:r>
        <w:rPr>
          <w:spacing w:val="1"/>
          <w:sz w:val="22"/>
        </w:rPr>
        <w:t> </w:t>
      </w:r>
      <w:r>
        <w:rPr>
          <w:sz w:val="22"/>
        </w:rPr>
        <w:t>error of law in considering the statutory test by reference to NF1 and ADHD in</w:t>
      </w:r>
      <w:r>
        <w:rPr>
          <w:spacing w:val="1"/>
          <w:sz w:val="22"/>
        </w:rPr>
        <w:t> </w:t>
      </w:r>
      <w:r>
        <w:rPr>
          <w:sz w:val="22"/>
        </w:rPr>
        <w:t>isolation,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opposed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combination.</w:t>
      </w:r>
      <w:r>
        <w:rPr>
          <w:spacing w:val="1"/>
          <w:sz w:val="22"/>
        </w:rPr>
        <w:t> </w:t>
      </w:r>
      <w:r>
        <w:rPr>
          <w:sz w:val="22"/>
        </w:rPr>
        <w:t>SSWP</w:t>
      </w:r>
      <w:r>
        <w:rPr>
          <w:spacing w:val="1"/>
          <w:sz w:val="22"/>
        </w:rPr>
        <w:t> </w:t>
      </w:r>
      <w:r>
        <w:rPr>
          <w:sz w:val="22"/>
        </w:rPr>
        <w:t>submits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had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FTT</w:t>
      </w:r>
      <w:r>
        <w:rPr>
          <w:spacing w:val="1"/>
          <w:sz w:val="22"/>
        </w:rPr>
        <w:t> </w:t>
      </w:r>
      <w:r>
        <w:rPr>
          <w:sz w:val="22"/>
        </w:rPr>
        <w:t>approached the matter on this basis, it ought, on the very exceptional facts of this</w:t>
      </w:r>
      <w:r>
        <w:rPr>
          <w:spacing w:val="-59"/>
          <w:sz w:val="22"/>
        </w:rPr>
        <w:t> </w:t>
      </w:r>
      <w:r>
        <w:rPr>
          <w:sz w:val="22"/>
        </w:rPr>
        <w:t>case, to have taken steps in exercise of its inquisitorial function to address the</w:t>
      </w:r>
      <w:r>
        <w:rPr>
          <w:spacing w:val="1"/>
          <w:sz w:val="22"/>
        </w:rPr>
        <w:t> </w:t>
      </w:r>
      <w:r>
        <w:rPr>
          <w:sz w:val="22"/>
        </w:rPr>
        <w:t>correct</w:t>
      </w:r>
      <w:r>
        <w:rPr>
          <w:spacing w:val="-1"/>
          <w:sz w:val="22"/>
        </w:rPr>
        <w:t> </w:t>
      </w:r>
      <w:r>
        <w:rPr>
          <w:sz w:val="22"/>
        </w:rPr>
        <w:t>question.</w:t>
      </w:r>
    </w:p>
    <w:p>
      <w:pPr>
        <w:spacing w:before="120"/>
        <w:ind w:left="1252" w:right="675" w:firstLine="0"/>
        <w:jc w:val="both"/>
        <w:rPr>
          <w:sz w:val="22"/>
        </w:rPr>
      </w:pPr>
      <w:r>
        <w:rPr>
          <w:sz w:val="22"/>
        </w:rPr>
        <w:t>11. Based on the report from Dr Foreman, SSWP accepts that the criteria in reg.</w:t>
      </w:r>
      <w:r>
        <w:rPr>
          <w:spacing w:val="1"/>
          <w:sz w:val="22"/>
        </w:rPr>
        <w:t> </w:t>
      </w:r>
      <w:r>
        <w:rPr>
          <w:sz w:val="22"/>
        </w:rPr>
        <w:t>12(5) are satisfied in [the appellant’s] case. SSWP also accepts in light of the</w:t>
      </w:r>
      <w:r>
        <w:rPr>
          <w:spacing w:val="1"/>
          <w:sz w:val="22"/>
        </w:rPr>
        <w:t> </w:t>
      </w:r>
      <w:r>
        <w:rPr>
          <w:sz w:val="22"/>
        </w:rPr>
        <w:t>evidence in the case more generally that [the appellant] satisfies the criteria in</w:t>
      </w:r>
      <w:r>
        <w:rPr>
          <w:spacing w:val="1"/>
          <w:sz w:val="22"/>
        </w:rPr>
        <w:t> </w:t>
      </w:r>
      <w:r>
        <w:rPr>
          <w:sz w:val="22"/>
        </w:rPr>
        <w:t>reg.</w:t>
      </w:r>
      <w:r>
        <w:rPr>
          <w:spacing w:val="-1"/>
          <w:sz w:val="22"/>
        </w:rPr>
        <w:t> </w:t>
      </w:r>
      <w:r>
        <w:rPr>
          <w:sz w:val="22"/>
        </w:rPr>
        <w:t>12(6)….</w:t>
      </w:r>
    </w:p>
    <w:p>
      <w:pPr>
        <w:spacing w:before="120"/>
        <w:ind w:left="1252" w:right="675" w:firstLine="0"/>
        <w:jc w:val="both"/>
        <w:rPr>
          <w:sz w:val="24"/>
        </w:rPr>
      </w:pPr>
      <w:r>
        <w:rPr>
          <w:sz w:val="22"/>
        </w:rPr>
        <w:t>13. SSWP does not, of course, seek to address any broader issues about ADHD</w:t>
      </w:r>
      <w:r>
        <w:rPr>
          <w:spacing w:val="1"/>
          <w:sz w:val="22"/>
        </w:rPr>
        <w:t> </w:t>
      </w:r>
      <w:r>
        <w:rPr>
          <w:sz w:val="22"/>
        </w:rPr>
        <w:t>raised by the Tribunal’s February 2022 directions as they do not now arise on the</w:t>
      </w:r>
      <w:r>
        <w:rPr>
          <w:spacing w:val="-59"/>
          <w:sz w:val="22"/>
        </w:rPr>
        <w:t> </w:t>
      </w:r>
      <w:r>
        <w:rPr>
          <w:sz w:val="22"/>
        </w:rPr>
        <w:t>facts of this case (and are not addressed by the medical evidence in any event,</w:t>
      </w:r>
      <w:r>
        <w:rPr>
          <w:spacing w:val="1"/>
          <w:sz w:val="22"/>
        </w:rPr>
        <w:t> </w:t>
      </w:r>
      <w:r>
        <w:rPr>
          <w:sz w:val="22"/>
        </w:rPr>
        <w:t>given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conclusions</w:t>
      </w:r>
      <w:r>
        <w:rPr>
          <w:spacing w:val="-2"/>
          <w:sz w:val="22"/>
        </w:rPr>
        <w:t> </w:t>
      </w:r>
      <w:r>
        <w:rPr>
          <w:sz w:val="22"/>
        </w:rPr>
        <w:t>drawn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expert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relation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[the</w:t>
      </w:r>
      <w:r>
        <w:rPr>
          <w:spacing w:val="-2"/>
          <w:sz w:val="22"/>
        </w:rPr>
        <w:t> </w:t>
      </w:r>
      <w:r>
        <w:rPr>
          <w:sz w:val="22"/>
        </w:rPr>
        <w:t>appellant’s</w:t>
      </w:r>
      <w:r>
        <w:rPr>
          <w:spacing w:val="-2"/>
          <w:sz w:val="22"/>
        </w:rPr>
        <w:t> </w:t>
      </w:r>
      <w:r>
        <w:rPr>
          <w:sz w:val="22"/>
        </w:rPr>
        <w:t>NF1).</w:t>
      </w:r>
      <w:r>
        <w:rPr>
          <w:sz w:val="24"/>
        </w:rPr>
        <w:t>”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40" w:lineRule="auto" w:before="217" w:after="0"/>
        <w:ind w:left="118" w:right="674" w:firstLine="0"/>
        <w:jc w:val="both"/>
        <w:rPr>
          <w:sz w:val="24"/>
        </w:rPr>
      </w:pPr>
      <w:r>
        <w:rPr>
          <w:sz w:val="24"/>
        </w:rPr>
        <w:t>Neither party has raised any issue about the DLA award under my remade</w:t>
      </w:r>
      <w:r>
        <w:rPr>
          <w:spacing w:val="1"/>
          <w:sz w:val="24"/>
        </w:rPr>
        <w:t> </w:t>
      </w:r>
      <w:r>
        <w:rPr>
          <w:sz w:val="24"/>
        </w:rPr>
        <w:t>decision having already ended (on 12 May 2022) and no argument was made to me</w:t>
      </w:r>
      <w:r>
        <w:rPr>
          <w:spacing w:val="1"/>
          <w:sz w:val="24"/>
        </w:rPr>
        <w:t> </w:t>
      </w:r>
      <w:r>
        <w:rPr>
          <w:sz w:val="24"/>
        </w:rPr>
        <w:t>that the period of the award under appeal should run beyond 12 May 2022.</w:t>
      </w:r>
      <w:r>
        <w:rPr>
          <w:spacing w:val="1"/>
          <w:sz w:val="24"/>
        </w:rPr>
        <w:t> </w:t>
      </w:r>
      <w:r>
        <w:rPr>
          <w:sz w:val="24"/>
        </w:rPr>
        <w:t>I assume</w:t>
      </w:r>
      <w:r>
        <w:rPr>
          <w:spacing w:val="-64"/>
          <w:sz w:val="24"/>
        </w:rPr>
        <w:t> </w:t>
      </w:r>
      <w:r>
        <w:rPr>
          <w:sz w:val="24"/>
        </w:rPr>
        <w:t>a renewal claim has been made for DLA for the period from 12 May 2022 and a</w:t>
      </w:r>
      <w:r>
        <w:rPr>
          <w:spacing w:val="1"/>
          <w:sz w:val="24"/>
        </w:rPr>
        <w:t> </w:t>
      </w:r>
      <w:r>
        <w:rPr>
          <w:sz w:val="24"/>
        </w:rPr>
        <w:t>decision has been made on that renewal claim. (It may instead have been thought</w:t>
      </w:r>
      <w:r>
        <w:rPr>
          <w:spacing w:val="1"/>
          <w:sz w:val="24"/>
        </w:rPr>
        <w:t> </w:t>
      </w:r>
      <w:r>
        <w:rPr>
          <w:sz w:val="24"/>
        </w:rPr>
        <w:t>sensible to suspend deciding that renewal claim until this appeal has been finally</w:t>
      </w:r>
      <w:r>
        <w:rPr>
          <w:spacing w:val="1"/>
          <w:sz w:val="24"/>
        </w:rPr>
        <w:t> </w:t>
      </w:r>
      <w:r>
        <w:rPr>
          <w:sz w:val="24"/>
        </w:rPr>
        <w:t>decided.) Given the evidence that has led me to make the (agreed) decision in the</w:t>
      </w:r>
      <w:r>
        <w:rPr>
          <w:spacing w:val="1"/>
          <w:sz w:val="24"/>
        </w:rPr>
        <w:t> </w:t>
      </w:r>
      <w:r>
        <w:rPr>
          <w:sz w:val="24"/>
        </w:rPr>
        <w:t>above terms, it would seem unlikely that any renewal decision from 12 May 2022</w:t>
      </w:r>
      <w:r>
        <w:rPr>
          <w:spacing w:val="1"/>
          <w:sz w:val="24"/>
        </w:rPr>
        <w:t> </w:t>
      </w:r>
      <w:r>
        <w:rPr>
          <w:sz w:val="24"/>
        </w:rPr>
        <w:t>would properly not award the appellant the higher rate of the mobility component and</w:t>
      </w:r>
      <w:r>
        <w:rPr>
          <w:spacing w:val="1"/>
          <w:sz w:val="24"/>
        </w:rPr>
        <w:t> </w:t>
      </w:r>
      <w:r>
        <w:rPr>
          <w:sz w:val="24"/>
        </w:rPr>
        <w:t>highest rate of the care component of DLA, unless of course there has been a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appellant’s</w:t>
      </w:r>
      <w:r>
        <w:rPr>
          <w:spacing w:val="-2"/>
          <w:sz w:val="24"/>
        </w:rPr>
        <w:t> </w:t>
      </w:r>
      <w:r>
        <w:rPr>
          <w:sz w:val="24"/>
        </w:rPr>
        <w:t>circumstances since</w:t>
      </w:r>
      <w:r>
        <w:rPr>
          <w:spacing w:val="-1"/>
          <w:sz w:val="24"/>
        </w:rPr>
        <w:t> </w:t>
      </w:r>
      <w:r>
        <w:rPr>
          <w:sz w:val="24"/>
        </w:rPr>
        <w:t>13 May 2020</w:t>
      </w:r>
    </w:p>
    <w:p>
      <w:pPr>
        <w:pStyle w:val="BodyText"/>
        <w:spacing w:before="5"/>
        <w:rPr>
          <w:sz w:val="34"/>
        </w:rPr>
      </w:pPr>
    </w:p>
    <w:p>
      <w:pPr>
        <w:pStyle w:val="Heading2"/>
        <w:ind w:left="5985" w:right="676" w:hanging="1091"/>
        <w:jc w:val="right"/>
      </w:pPr>
      <w:r>
        <w:rPr/>
        <w:t>Approved for issue by Stewart Wright</w:t>
      </w:r>
      <w:r>
        <w:rPr>
          <w:spacing w:val="-64"/>
        </w:rPr>
        <w:t> </w:t>
      </w:r>
      <w:r>
        <w:rPr/>
        <w:t>Judge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Upper</w:t>
      </w:r>
      <w:r>
        <w:rPr>
          <w:spacing w:val="-1"/>
        </w:rPr>
        <w:t> </w:t>
      </w:r>
      <w:r>
        <w:rPr/>
        <w:t>Tribunal</w:t>
      </w:r>
    </w:p>
    <w:p>
      <w:pPr>
        <w:pStyle w:val="BodyText"/>
        <w:rPr>
          <w:b/>
        </w:rPr>
      </w:pPr>
    </w:p>
    <w:p>
      <w:pPr>
        <w:pStyle w:val="BodyText"/>
        <w:ind w:right="676"/>
        <w:jc w:val="right"/>
      </w:pPr>
      <w:r>
        <w:rPr/>
        <w:t>On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2022</w:t>
      </w:r>
    </w:p>
    <w:sectPr>
      <w:pgSz w:w="11910" w:h="16840"/>
      <w:pgMar w:header="728" w:footer="742" w:top="980" w:bottom="94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674988pt;margin-top:782.511658pt;width:8pt;height:15.3pt;mso-position-horizontal-relative:page;mso-position-vertical-relative:page;z-index:-1578956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615997pt;margin-top:793.911011pt;width:13.15pt;height:14.3pt;mso-position-horizontal-relative:page;mso-position-vertical-relative:page;z-index:-15788032" type="#_x0000_t202" id="docshape4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00002pt;margin-top:35.392719pt;width:111.35pt;height:15.45pt;mso-position-horizontal-relative:page;mso-position-vertical-relative:page;z-index:-15789056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-v- SSWP (DLA)</w:t>
                </w:r>
              </w:p>
            </w:txbxContent>
          </v:textbox>
          <w10:wrap type="none"/>
        </v:shape>
      </w:pict>
    </w:r>
    <w:r>
      <w:rPr/>
      <w:pict>
        <v:shape style="position:absolute;margin-left:334.471313pt;margin-top:35.392719pt;width:152.75pt;height:15.45pt;mso-position-horizontal-relative:page;mso-position-vertical-relative:page;z-index:-15788544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UA-2021-SCO-000005-DLA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."/>
      <w:lvlJc w:val="left"/>
      <w:pPr>
        <w:ind w:left="1252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0" w:hanging="56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81" w:hanging="56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42" w:hanging="56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02" w:hanging="56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63" w:hanging="56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24" w:hanging="56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84" w:hanging="56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145" w:hanging="56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60" w:hanging="56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16" w:hanging="56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72" w:hanging="56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29" w:hanging="56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85" w:hanging="56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41" w:hanging="56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98" w:hanging="56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54" w:hanging="567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3147" w:right="3705"/>
      <w:jc w:val="center"/>
      <w:outlineLvl w:val="1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18" w:right="675"/>
      <w:jc w:val="both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2022-11-10T11:00:57Z</dcterms:created>
  <dcterms:modified xsi:type="dcterms:W3CDTF">2022-11-10T11:00:57Z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2022-11-10T00:00:00Z</vt:filetime>
  </property>
</Properties>
</file>